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35BA" w14:textId="77777777" w:rsidR="004021E5" w:rsidRDefault="004021E5">
      <w:pPr>
        <w:widowControl w:val="0"/>
        <w:spacing w:after="0" w:line="276" w:lineRule="auto"/>
        <w:rPr>
          <w:sz w:val="78"/>
          <w:szCs w:val="78"/>
        </w:rPr>
      </w:pPr>
    </w:p>
    <w:p w14:paraId="4896F17E" w14:textId="29DCF45A" w:rsidR="004021E5" w:rsidRDefault="004E2A12">
      <w:pPr>
        <w:widowControl w:val="0"/>
        <w:spacing w:after="240" w:line="192" w:lineRule="auto"/>
        <w:ind w:right="-873"/>
        <w:rPr>
          <w:rFonts w:ascii="Open Sans" w:eastAsia="Open Sans" w:hAnsi="Open Sans" w:cs="Open Sans"/>
          <w:b/>
          <w:sz w:val="78"/>
          <w:szCs w:val="78"/>
        </w:rPr>
      </w:pPr>
      <w:r w:rsidRPr="00D041F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6F717" wp14:editId="6691F1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11600" cy="248400"/>
                <wp:effectExtent l="0" t="0" r="4445" b="571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248400"/>
                        </a:xfrm>
                        <a:prstGeom prst="roundRect">
                          <a:avLst/>
                        </a:prstGeom>
                        <a:solidFill>
                          <a:srgbClr val="CAFFB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49C02" w14:textId="77777777" w:rsidR="004E2A12" w:rsidRPr="004E2A12" w:rsidRDefault="004E2A12" w:rsidP="004E2A12">
                            <w:pPr>
                              <w:ind w:right="16"/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2A12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 Resource</w:t>
                            </w:r>
                          </w:p>
                          <w:p w14:paraId="4181C12F" w14:textId="77777777" w:rsidR="004E2A12" w:rsidRPr="004E2A12" w:rsidRDefault="004E2A12" w:rsidP="004E2A12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9000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6F717" id="Rounded Rectangle 17" o:spid="_x0000_s1026" style="position:absolute;margin-left:0;margin-top:-.05pt;width:79.6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" fillcolor="#caffbf" stroked="f">
                <v:textbox inset=",.8mm,2.5mm,1.3mm">
                  <w:txbxContent>
                    <w:p w14:paraId="32249C02" w14:textId="77777777" w:rsidR="004E2A12" w:rsidRPr="004E2A12" w:rsidRDefault="004E2A12" w:rsidP="004E2A12">
                      <w:pPr>
                        <w:ind w:right="16"/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2A12"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 Resource</w:t>
                      </w:r>
                    </w:p>
                    <w:p w14:paraId="4181C12F" w14:textId="77777777" w:rsidR="004E2A12" w:rsidRPr="004E2A12" w:rsidRDefault="004E2A12" w:rsidP="004E2A12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1BB4F34" w14:textId="77777777" w:rsidR="004021E5" w:rsidRPr="004E2A12" w:rsidRDefault="00000000">
      <w:pPr>
        <w:widowControl w:val="0"/>
        <w:spacing w:after="240" w:line="192" w:lineRule="auto"/>
        <w:ind w:right="-873"/>
        <w:rPr>
          <w:rFonts w:ascii="Open Sans" w:eastAsia="Open Sans" w:hAnsi="Open Sans" w:cs="Open Sans"/>
          <w:b/>
          <w:color w:val="FFFFFF" w:themeColor="background1"/>
          <w:sz w:val="78"/>
          <w:szCs w:val="78"/>
        </w:rPr>
      </w:pPr>
      <w:r w:rsidRPr="004E2A12">
        <w:rPr>
          <w:rFonts w:ascii="Open Sans" w:eastAsia="Open Sans" w:hAnsi="Open Sans" w:cs="Open Sans"/>
          <w:b/>
          <w:color w:val="FFFFFF" w:themeColor="background1"/>
          <w:sz w:val="78"/>
          <w:szCs w:val="78"/>
        </w:rPr>
        <w:t xml:space="preserve">IB Primary </w:t>
      </w:r>
      <w:proofErr w:type="spellStart"/>
      <w:r w:rsidRPr="004E2A12">
        <w:rPr>
          <w:rFonts w:ascii="Open Sans" w:eastAsia="Open Sans" w:hAnsi="Open Sans" w:cs="Open Sans"/>
          <w:b/>
          <w:color w:val="FFFFFF" w:themeColor="background1"/>
          <w:sz w:val="78"/>
          <w:szCs w:val="78"/>
        </w:rPr>
        <w:t>Programme</w:t>
      </w:r>
      <w:proofErr w:type="spellEnd"/>
    </w:p>
    <w:p w14:paraId="69DA7553" w14:textId="77777777" w:rsidR="004021E5" w:rsidRPr="004E2A12" w:rsidRDefault="00000000">
      <w:pPr>
        <w:widowControl w:val="0"/>
        <w:spacing w:after="240" w:line="192" w:lineRule="auto"/>
        <w:ind w:right="-873"/>
        <w:rPr>
          <w:rFonts w:ascii="Open Sans" w:eastAsia="Open Sans" w:hAnsi="Open Sans" w:cs="Open Sans"/>
          <w:b/>
          <w:color w:val="FFFFFF" w:themeColor="background1"/>
          <w:sz w:val="78"/>
          <w:szCs w:val="78"/>
        </w:rPr>
      </w:pPr>
      <w:r w:rsidRPr="004E2A12">
        <w:rPr>
          <w:rFonts w:ascii="Open Sans" w:eastAsia="Open Sans" w:hAnsi="Open Sans" w:cs="Open Sans"/>
          <w:b/>
          <w:color w:val="FFFFFF" w:themeColor="background1"/>
          <w:sz w:val="78"/>
          <w:szCs w:val="78"/>
        </w:rPr>
        <w:t>(PYP)</w:t>
      </w:r>
    </w:p>
    <w:p w14:paraId="7CD3DF85" w14:textId="77777777" w:rsidR="004021E5" w:rsidRDefault="004021E5">
      <w:pPr>
        <w:widowControl w:val="0"/>
        <w:spacing w:after="240" w:line="276" w:lineRule="auto"/>
        <w:rPr>
          <w:rFonts w:ascii="Open Sans" w:eastAsia="Open Sans" w:hAnsi="Open Sans" w:cs="Open Sans"/>
          <w:color w:val="FFFFFF"/>
          <w:sz w:val="36"/>
          <w:szCs w:val="36"/>
        </w:rPr>
      </w:pPr>
    </w:p>
    <w:p w14:paraId="6732E082" w14:textId="77777777" w:rsidR="004021E5" w:rsidRPr="004E2A12" w:rsidRDefault="00000000">
      <w:pPr>
        <w:widowControl w:val="0"/>
        <w:spacing w:after="240" w:line="192" w:lineRule="auto"/>
        <w:rPr>
          <w:rFonts w:ascii="Open Sans" w:eastAsia="Open Sans" w:hAnsi="Open Sans" w:cs="Open Sans"/>
          <w:color w:val="FFFFFF" w:themeColor="background1"/>
          <w:sz w:val="78"/>
          <w:szCs w:val="78"/>
        </w:rPr>
      </w:pPr>
      <w:r w:rsidRPr="004E2A12">
        <w:rPr>
          <w:rFonts w:ascii="Open Sans" w:eastAsia="Open Sans" w:hAnsi="Open Sans" w:cs="Open Sans"/>
          <w:color w:val="FFFFFF" w:themeColor="background1"/>
          <w:sz w:val="36"/>
          <w:szCs w:val="36"/>
        </w:rPr>
        <w:t>Policy Checklists</w:t>
      </w:r>
    </w:p>
    <w:p w14:paraId="25DBCA59" w14:textId="21DB6B87" w:rsidR="004021E5" w:rsidRDefault="00DE1B43">
      <w:pPr>
        <w:spacing w:after="0" w:line="276" w:lineRule="auto"/>
        <w:rPr>
          <w:rFonts w:ascii="Arial" w:eastAsia="Arial" w:hAnsi="Arial" w:cs="Arial"/>
          <w:color w:val="FFFFFF"/>
          <w:sz w:val="36"/>
          <w:szCs w:val="36"/>
        </w:rPr>
        <w:sectPr w:rsidR="004021E5">
          <w:headerReference w:type="default" r:id="rId7"/>
          <w:pgSz w:w="12240" w:h="15840"/>
          <w:pgMar w:top="2059" w:right="878" w:bottom="1440" w:left="878" w:header="676" w:footer="475" w:gutter="0"/>
          <w:pgNumType w:start="1"/>
          <w:cols w:space="720"/>
          <w:titlePg/>
        </w:sect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9B8CC2B" wp14:editId="5EEAF4C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25740" cy="10908665"/>
            <wp:effectExtent l="0" t="0" r="0" b="635"/>
            <wp:wrapNone/>
            <wp:docPr id="1758920317" name="Picture 1758920317" descr="A blue sky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20317" name="Picture 1758920317" descr="A blue sky with a black bord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740" cy="1090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Open Sans" w:eastAsia="Open Sans" w:hAnsi="Open Sans" w:cs="Open Sans"/>
          <w:noProof/>
        </w:rPr>
        <w:drawing>
          <wp:anchor distT="114300" distB="114300" distL="114300" distR="114300" simplePos="0" relativeHeight="251660288" behindDoc="0" locked="0" layoutInCell="1" hidden="0" allowOverlap="1" wp14:anchorId="185CF313" wp14:editId="7FCE1BA9">
            <wp:simplePos x="0" y="0"/>
            <wp:positionH relativeFrom="page">
              <wp:posOffset>475487</wp:posOffset>
            </wp:positionH>
            <wp:positionV relativeFrom="page">
              <wp:posOffset>530352</wp:posOffset>
            </wp:positionV>
            <wp:extent cx="2194560" cy="559613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59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E7A1E" w14:textId="77777777" w:rsidR="004021E5" w:rsidRPr="004E2A12" w:rsidRDefault="00000000">
      <w:pPr>
        <w:pStyle w:val="Heading1"/>
        <w:jc w:val="left"/>
        <w:rPr>
          <w:color w:val="000000" w:themeColor="text1"/>
        </w:rPr>
      </w:pPr>
      <w:bookmarkStart w:id="0" w:name="_dd7ct9dl0psf" w:colFirst="0" w:colLast="0"/>
      <w:bookmarkEnd w:id="0"/>
      <w:r w:rsidRPr="004E2A12">
        <w:rPr>
          <w:color w:val="000000" w:themeColor="text1"/>
        </w:rPr>
        <w:lastRenderedPageBreak/>
        <w:t xml:space="preserve">IB Primary Years </w:t>
      </w:r>
      <w:proofErr w:type="spellStart"/>
      <w:r w:rsidRPr="004E2A12">
        <w:rPr>
          <w:color w:val="000000" w:themeColor="text1"/>
        </w:rPr>
        <w:t>Programme</w:t>
      </w:r>
      <w:proofErr w:type="spellEnd"/>
      <w:r w:rsidRPr="004E2A12">
        <w:rPr>
          <w:color w:val="000000" w:themeColor="text1"/>
        </w:rPr>
        <w:t xml:space="preserve"> (PYP) Policy Checklists</w:t>
      </w:r>
    </w:p>
    <w:p w14:paraId="06CFBD2C" w14:textId="77777777" w:rsidR="004021E5" w:rsidRDefault="00000000">
      <w:pPr>
        <w:keepNext/>
        <w:keepLines/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color w:val="478CFE"/>
        </w:rPr>
        <w:br/>
      </w:r>
      <w:proofErr w:type="spellStart"/>
      <w:r w:rsidRPr="004E2A12">
        <w:rPr>
          <w:rFonts w:ascii="Open Sans" w:eastAsia="Open Sans" w:hAnsi="Open Sans" w:cs="Open Sans"/>
          <w:b/>
          <w:color w:val="478CFE"/>
        </w:rPr>
        <w:t>Programme</w:t>
      </w:r>
      <w:proofErr w:type="spellEnd"/>
      <w:r w:rsidRPr="004E2A12">
        <w:rPr>
          <w:rFonts w:ascii="Open Sans" w:eastAsia="Open Sans" w:hAnsi="Open Sans" w:cs="Open Sans"/>
          <w:b/>
          <w:color w:val="478CFE"/>
        </w:rPr>
        <w:t xml:space="preserve"> Standards &amp; Practices (2020) Culture: Creating positive school cultures</w:t>
      </w:r>
      <w:r w:rsidRPr="004E2A12">
        <w:rPr>
          <w:rFonts w:ascii="Open Sans" w:eastAsia="Open Sans" w:hAnsi="Open Sans" w:cs="Open Sans"/>
          <w:b/>
          <w:color w:val="478CFE"/>
        </w:rPr>
        <w:br/>
        <w:t>Standard: Culture through policy implementation (0301)</w:t>
      </w:r>
      <w:r>
        <w:rPr>
          <w:rFonts w:ascii="Open Sans" w:eastAsia="Open Sans" w:hAnsi="Open Sans" w:cs="Open Sans"/>
          <w:b/>
          <w:color w:val="478CFE"/>
        </w:rPr>
        <w:br/>
      </w:r>
      <w:r w:rsidRPr="004E2A12">
        <w:rPr>
          <w:rFonts w:ascii="Open Sans" w:eastAsia="Open Sans" w:hAnsi="Open Sans" w:cs="Open Sans"/>
          <w:color w:val="000000" w:themeColor="text1"/>
        </w:rPr>
        <w:t>Schools develop, implement, communicate and review effective policies that help to create a school culture in which IB philosophy can thrive.</w:t>
      </w:r>
    </w:p>
    <w:p w14:paraId="6A990697" w14:textId="77777777" w:rsidR="004021E5" w:rsidRPr="004E2A12" w:rsidRDefault="00000000">
      <w:pPr>
        <w:pStyle w:val="Heading2"/>
        <w:rPr>
          <w:color w:val="000000" w:themeColor="text1"/>
        </w:rPr>
      </w:pPr>
      <w:bookmarkStart w:id="1" w:name="_wfu5uipj1e6c" w:colFirst="0" w:colLast="0"/>
      <w:bookmarkEnd w:id="1"/>
      <w:r>
        <w:br/>
      </w:r>
      <w:r w:rsidRPr="004E2A12">
        <w:rPr>
          <w:color w:val="000000" w:themeColor="text1"/>
        </w:rPr>
        <w:t>Language Policy</w:t>
      </w:r>
    </w:p>
    <w:p w14:paraId="0B9EC53F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Has a clear language philosophy that reflects the school’s beliefs about language learning.</w:t>
      </w:r>
    </w:p>
    <w:p w14:paraId="6501B510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proofErr w:type="spellStart"/>
      <w:r w:rsidRPr="004E2A12">
        <w:rPr>
          <w:rFonts w:ascii="Open Sans" w:eastAsia="Open Sans" w:hAnsi="Open Sans" w:cs="Open Sans"/>
          <w:color w:val="000000" w:themeColor="text1"/>
        </w:rPr>
        <w:t>Recognises</w:t>
      </w:r>
      <w:proofErr w:type="spellEnd"/>
      <w:r w:rsidRPr="004E2A12">
        <w:rPr>
          <w:rFonts w:ascii="Open Sans" w:eastAsia="Open Sans" w:hAnsi="Open Sans" w:cs="Open Sans"/>
          <w:color w:val="000000" w:themeColor="text1"/>
        </w:rPr>
        <w:t xml:space="preserve"> that all teachers are, in practice, language teachers with responsibilities in facilitating communication.</w:t>
      </w:r>
    </w:p>
    <w:p w14:paraId="0D8C02FA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Outlines how students are to learn at least one language in addition to their home/personal language(s).</w:t>
      </w:r>
    </w:p>
    <w:p w14:paraId="4F5AF455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how the development and maintenance of the home/personal language(s) for all learners is to be supported.</w:t>
      </w:r>
    </w:p>
    <w:p w14:paraId="6F5C2D9A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 xml:space="preserve">Ensures that diversity, equity and inclusion practices are in place to guarantee all students have access to the IB </w:t>
      </w:r>
      <w:proofErr w:type="spellStart"/>
      <w:r w:rsidRPr="004E2A12">
        <w:rPr>
          <w:rFonts w:ascii="Open Sans" w:eastAsia="Open Sans" w:hAnsi="Open Sans" w:cs="Open Sans"/>
          <w:color w:val="000000" w:themeColor="text1"/>
        </w:rPr>
        <w:t>programme</w:t>
      </w:r>
      <w:proofErr w:type="spellEnd"/>
      <w:r w:rsidRPr="004E2A12">
        <w:rPr>
          <w:rFonts w:ascii="Open Sans" w:eastAsia="Open Sans" w:hAnsi="Open Sans" w:cs="Open Sans"/>
          <w:color w:val="000000" w:themeColor="text1"/>
        </w:rPr>
        <w:t>(s) offered by the school, including those who are learning in a language other than their home/personal language(s).</w:t>
      </w:r>
    </w:p>
    <w:p w14:paraId="3E4E6D26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Provides support for students who are not proficient in the language of instruction.</w:t>
      </w:r>
    </w:p>
    <w:p w14:paraId="61BE1C8D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Ensures support for multilingualism, which is required to develop multiliteracies.</w:t>
      </w:r>
    </w:p>
    <w:p w14:paraId="555A2D94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how the language(s) of the wider community are respected and promoted.</w:t>
      </w:r>
    </w:p>
    <w:p w14:paraId="7F93773B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Considers what resources and practices are to be used to involve parents in planning their children’s language profile and development.</w:t>
      </w:r>
    </w:p>
    <w:p w14:paraId="575204EC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Considers the sociocultural circumstances of the school.</w:t>
      </w:r>
    </w:p>
    <w:p w14:paraId="0093C08F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Promotes learning of the host country or regional language and culture.</w:t>
      </w:r>
    </w:p>
    <w:p w14:paraId="3F4ED3DD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Accounts for students’ language learning needs.</w:t>
      </w:r>
    </w:p>
    <w:p w14:paraId="4E229BAE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Lists the resources available to support the policy (such as the library, technology, software, extra-curricular, etc.).</w:t>
      </w:r>
    </w:p>
    <w:p w14:paraId="20BB31B6" w14:textId="77777777" w:rsidR="004021E5" w:rsidRPr="004E2A12" w:rsidRDefault="00000000" w:rsidP="004E2A12">
      <w:pPr>
        <w:numPr>
          <w:ilvl w:val="0"/>
          <w:numId w:val="7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evidence of a review process, such as who took part in the creation and review of the policy, the date of the most recent review, and when it will be reviewed next.</w:t>
      </w:r>
    </w:p>
    <w:p w14:paraId="486EE23E" w14:textId="77777777" w:rsidR="004021E5" w:rsidRPr="004E2A12" w:rsidRDefault="00000000">
      <w:pPr>
        <w:pStyle w:val="Heading2"/>
        <w:rPr>
          <w:color w:val="000000" w:themeColor="text1"/>
        </w:rPr>
      </w:pPr>
      <w:bookmarkStart w:id="2" w:name="_i70f4lnv6tdl" w:colFirst="0" w:colLast="0"/>
      <w:bookmarkEnd w:id="2"/>
      <w:r w:rsidRPr="004E2A12">
        <w:rPr>
          <w:color w:val="000000" w:themeColor="text1"/>
        </w:rPr>
        <w:lastRenderedPageBreak/>
        <w:t>Inclusion Policy</w:t>
      </w:r>
    </w:p>
    <w:p w14:paraId="60EA372B" w14:textId="77777777" w:rsidR="004021E5" w:rsidRPr="004E2A12" w:rsidRDefault="00000000" w:rsidP="004E2A12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Identifies all legal requirements. Outlines the structure and process used to comply with these legal requirements.</w:t>
      </w:r>
    </w:p>
    <w:p w14:paraId="145353E0" w14:textId="77777777" w:rsidR="004021E5" w:rsidRPr="004E2A12" w:rsidRDefault="00000000" w:rsidP="004E2A12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the rights and responsibilities of all members of the school community.</w:t>
      </w:r>
    </w:p>
    <w:p w14:paraId="5BC57763" w14:textId="77777777" w:rsidR="004021E5" w:rsidRPr="004E2A12" w:rsidRDefault="00000000" w:rsidP="004E2A12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 xml:space="preserve">Clearly states the school’s vision for implementing inclusive IB </w:t>
      </w:r>
      <w:proofErr w:type="spellStart"/>
      <w:r w:rsidRPr="004E2A12">
        <w:rPr>
          <w:rFonts w:ascii="Open Sans" w:eastAsia="Open Sans" w:hAnsi="Open Sans" w:cs="Open Sans"/>
          <w:color w:val="000000" w:themeColor="text1"/>
        </w:rPr>
        <w:t>programmes</w:t>
      </w:r>
      <w:proofErr w:type="spellEnd"/>
      <w:r w:rsidRPr="004E2A12">
        <w:rPr>
          <w:rFonts w:ascii="Open Sans" w:eastAsia="Open Sans" w:hAnsi="Open Sans" w:cs="Open Sans"/>
          <w:color w:val="000000" w:themeColor="text1"/>
        </w:rPr>
        <w:t>.</w:t>
      </w:r>
    </w:p>
    <w:p w14:paraId="418207F4" w14:textId="77777777" w:rsidR="004021E5" w:rsidRPr="004E2A12" w:rsidRDefault="00000000" w:rsidP="004E2A12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references to the scope of support the school will give to PYP students in connection with its admissions policy.</w:t>
      </w:r>
    </w:p>
    <w:p w14:paraId="3477E033" w14:textId="77777777" w:rsidR="004021E5" w:rsidRPr="004E2A12" w:rsidRDefault="00000000" w:rsidP="004E2A12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the services provided, staff responsible, entry identification procedures and exit support structures.</w:t>
      </w:r>
    </w:p>
    <w:p w14:paraId="75E0E615" w14:textId="77777777" w:rsidR="004021E5" w:rsidRPr="004E2A12" w:rsidRDefault="00000000" w:rsidP="004E2A12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Lists the resources put in place to support the policy (for example, special needs/learning support teacher(s), relevant training, etc.).</w:t>
      </w:r>
    </w:p>
    <w:p w14:paraId="4FE7A080" w14:textId="77777777" w:rsidR="004021E5" w:rsidRPr="004E2A12" w:rsidRDefault="00000000" w:rsidP="004E2A12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evidence of a review process, such as who took part in the creation and review of the policy, the date of the most recent review, and when it will be reviewed next.</w:t>
      </w:r>
    </w:p>
    <w:p w14:paraId="0405257F" w14:textId="77777777" w:rsidR="004021E5" w:rsidRPr="004E2A12" w:rsidRDefault="004021E5">
      <w:pPr>
        <w:shd w:val="clear" w:color="auto" w:fill="FFFFFF"/>
        <w:spacing w:after="0" w:line="240" w:lineRule="auto"/>
        <w:rPr>
          <w:rFonts w:ascii="Open Sans" w:eastAsia="Open Sans" w:hAnsi="Open Sans" w:cs="Open Sans"/>
          <w:color w:val="000000" w:themeColor="text1"/>
          <w:sz w:val="20"/>
          <w:szCs w:val="20"/>
        </w:rPr>
      </w:pPr>
    </w:p>
    <w:p w14:paraId="547C2831" w14:textId="77777777" w:rsidR="004021E5" w:rsidRPr="004E2A12" w:rsidRDefault="00000000">
      <w:pPr>
        <w:pStyle w:val="Heading2"/>
        <w:rPr>
          <w:color w:val="000000" w:themeColor="text1"/>
        </w:rPr>
      </w:pPr>
      <w:bookmarkStart w:id="3" w:name="_pxs3ql562q70" w:colFirst="0" w:colLast="0"/>
      <w:bookmarkEnd w:id="3"/>
      <w:r w:rsidRPr="004E2A12">
        <w:rPr>
          <w:color w:val="000000" w:themeColor="text1"/>
        </w:rPr>
        <w:t>Admissions Policy</w:t>
      </w:r>
    </w:p>
    <w:p w14:paraId="3A1EBC57" w14:textId="77777777" w:rsidR="004021E5" w:rsidRPr="004E2A12" w:rsidRDefault="00000000" w:rsidP="004E2A12">
      <w:pPr>
        <w:numPr>
          <w:ilvl w:val="0"/>
          <w:numId w:val="9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references to the scope of support the school will give to PYP students in connection with its Inclusion Policy.</w:t>
      </w:r>
    </w:p>
    <w:p w14:paraId="482C1598" w14:textId="77777777" w:rsidR="004021E5" w:rsidRPr="004E2A12" w:rsidRDefault="00000000" w:rsidP="004E2A12">
      <w:pPr>
        <w:numPr>
          <w:ilvl w:val="0"/>
          <w:numId w:val="9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 xml:space="preserve">Describes the conditions for participation in the </w:t>
      </w:r>
      <w:proofErr w:type="spellStart"/>
      <w:r w:rsidRPr="004E2A12">
        <w:rPr>
          <w:rFonts w:ascii="Open Sans" w:eastAsia="Open Sans" w:hAnsi="Open Sans" w:cs="Open Sans"/>
          <w:color w:val="000000" w:themeColor="text1"/>
        </w:rPr>
        <w:t>programme</w:t>
      </w:r>
      <w:proofErr w:type="spellEnd"/>
      <w:r w:rsidRPr="004E2A12">
        <w:rPr>
          <w:rFonts w:ascii="Open Sans" w:eastAsia="Open Sans" w:hAnsi="Open Sans" w:cs="Open Sans"/>
          <w:color w:val="000000" w:themeColor="text1"/>
        </w:rPr>
        <w:t>.</w:t>
      </w:r>
    </w:p>
    <w:p w14:paraId="5E4546B4" w14:textId="77777777" w:rsidR="004021E5" w:rsidRPr="004E2A12" w:rsidRDefault="00000000" w:rsidP="004E2A12">
      <w:pPr>
        <w:numPr>
          <w:ilvl w:val="0"/>
          <w:numId w:val="9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evidence of a review process, such as who took part in the creation and review of the policy, the date of the most recent review, and when it will be reviewed next.</w:t>
      </w:r>
    </w:p>
    <w:p w14:paraId="22B6431B" w14:textId="77777777" w:rsidR="004021E5" w:rsidRDefault="004021E5">
      <w:pPr>
        <w:pStyle w:val="Heading2"/>
      </w:pPr>
      <w:bookmarkStart w:id="4" w:name="_etkzdv5o7oh" w:colFirst="0" w:colLast="0"/>
      <w:bookmarkEnd w:id="4"/>
    </w:p>
    <w:p w14:paraId="453922DF" w14:textId="77777777" w:rsidR="004021E5" w:rsidRDefault="004021E5">
      <w:pPr>
        <w:pStyle w:val="Heading2"/>
      </w:pPr>
      <w:bookmarkStart w:id="5" w:name="_qhezs3pk5zb5" w:colFirst="0" w:colLast="0"/>
      <w:bookmarkEnd w:id="5"/>
    </w:p>
    <w:p w14:paraId="3BFBAA77" w14:textId="77777777" w:rsidR="004021E5" w:rsidRDefault="004021E5">
      <w:pPr>
        <w:pStyle w:val="Heading2"/>
      </w:pPr>
      <w:bookmarkStart w:id="6" w:name="_la07fejtevvl" w:colFirst="0" w:colLast="0"/>
      <w:bookmarkEnd w:id="6"/>
    </w:p>
    <w:p w14:paraId="40C76ED2" w14:textId="77777777" w:rsidR="004021E5" w:rsidRDefault="004021E5">
      <w:pPr>
        <w:pStyle w:val="Heading2"/>
        <w:keepNext w:val="0"/>
        <w:keepLines w:val="0"/>
        <w:widowControl w:val="0"/>
      </w:pPr>
      <w:bookmarkStart w:id="7" w:name="_ugwixkv62wvt" w:colFirst="0" w:colLast="0"/>
      <w:bookmarkEnd w:id="7"/>
    </w:p>
    <w:p w14:paraId="3DF35517" w14:textId="77777777" w:rsidR="004021E5" w:rsidRPr="004E2A12" w:rsidRDefault="00000000">
      <w:pPr>
        <w:pStyle w:val="Heading2"/>
        <w:keepNext w:val="0"/>
        <w:keepLines w:val="0"/>
        <w:widowControl w:val="0"/>
        <w:rPr>
          <w:color w:val="000000" w:themeColor="text1"/>
        </w:rPr>
      </w:pPr>
      <w:bookmarkStart w:id="8" w:name="_j28uk6l1yemi" w:colFirst="0" w:colLast="0"/>
      <w:bookmarkEnd w:id="8"/>
      <w:r w:rsidRPr="004E2A12">
        <w:rPr>
          <w:color w:val="000000" w:themeColor="text1"/>
        </w:rPr>
        <w:lastRenderedPageBreak/>
        <w:t>Assessment Policy</w:t>
      </w:r>
    </w:p>
    <w:p w14:paraId="3B14354A" w14:textId="77777777" w:rsidR="004021E5" w:rsidRPr="004E2A12" w:rsidRDefault="00000000" w:rsidP="004E2A12">
      <w:pPr>
        <w:numPr>
          <w:ilvl w:val="0"/>
          <w:numId w:val="10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Clearly states the school’s philosophy of assessment that supports student learning.</w:t>
      </w:r>
    </w:p>
    <w:p w14:paraId="114D1ADF" w14:textId="77777777" w:rsidR="004021E5" w:rsidRPr="004E2A12" w:rsidRDefault="00000000" w:rsidP="004E2A12">
      <w:pPr>
        <w:numPr>
          <w:ilvl w:val="0"/>
          <w:numId w:val="10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Is aligned with the IB philosophy concerning learning and assessment.</w:t>
      </w:r>
    </w:p>
    <w:p w14:paraId="560C9F52" w14:textId="77777777" w:rsidR="004021E5" w:rsidRPr="004E2A12" w:rsidRDefault="00000000" w:rsidP="004E2A12">
      <w:pPr>
        <w:numPr>
          <w:ilvl w:val="0"/>
          <w:numId w:val="10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the rights and responsibilities of all members of the school community.</w:t>
      </w:r>
    </w:p>
    <w:p w14:paraId="3D49037A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States what constitutes effective assessment practice.</w:t>
      </w:r>
    </w:p>
    <w:p w14:paraId="35172E5F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common practices for recording and reporting student achievement/assessment.</w:t>
      </w:r>
    </w:p>
    <w:p w14:paraId="555ABE30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Details how to administer formative and summative assessments consistent with IB expectations.</w:t>
      </w:r>
    </w:p>
    <w:p w14:paraId="153F22D0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common practices used to address assessment and evidence learning.</w:t>
      </w:r>
    </w:p>
    <w:p w14:paraId="32274434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For schools imparting local/state/national curricula, includes an explanation of the correspondence between IB principles and practices and the required systems for grading and reporting.</w:t>
      </w:r>
    </w:p>
    <w:p w14:paraId="27705309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how the school will combine PYP assessment with national requirements (where applicable).</w:t>
      </w:r>
    </w:p>
    <w:p w14:paraId="1B2E5970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Provides information about student assessment appeals process and procedures.</w:t>
      </w:r>
    </w:p>
    <w:p w14:paraId="5C29D702" w14:textId="77777777" w:rsidR="004021E5" w:rsidRPr="004E2A12" w:rsidRDefault="00000000" w:rsidP="004E2A12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evidence of a review process, who took part in the creation and review of the policy, the date of the most recent review, and when it will be reviewed next.</w:t>
      </w:r>
    </w:p>
    <w:p w14:paraId="4C2A3FD8" w14:textId="77777777" w:rsidR="004021E5" w:rsidRDefault="004021E5">
      <w:pPr>
        <w:pStyle w:val="Heading2"/>
      </w:pPr>
      <w:bookmarkStart w:id="9" w:name="_s21t0bqu6wh4" w:colFirst="0" w:colLast="0"/>
      <w:bookmarkEnd w:id="9"/>
    </w:p>
    <w:p w14:paraId="0BE00C53" w14:textId="77777777" w:rsidR="004021E5" w:rsidRDefault="004021E5">
      <w:pPr>
        <w:pStyle w:val="Heading2"/>
      </w:pPr>
      <w:bookmarkStart w:id="10" w:name="_uo9pacwly3sf" w:colFirst="0" w:colLast="0"/>
      <w:bookmarkEnd w:id="10"/>
    </w:p>
    <w:p w14:paraId="2D45913D" w14:textId="77777777" w:rsidR="004021E5" w:rsidRDefault="004021E5">
      <w:pPr>
        <w:pStyle w:val="Heading2"/>
      </w:pPr>
      <w:bookmarkStart w:id="11" w:name="_8gx0q5lr67cp" w:colFirst="0" w:colLast="0"/>
      <w:bookmarkEnd w:id="11"/>
    </w:p>
    <w:p w14:paraId="60E196C4" w14:textId="77777777" w:rsidR="004021E5" w:rsidRDefault="004021E5">
      <w:pPr>
        <w:pStyle w:val="Heading2"/>
      </w:pPr>
      <w:bookmarkStart w:id="12" w:name="_9ww3g9b5yxqo" w:colFirst="0" w:colLast="0"/>
      <w:bookmarkEnd w:id="12"/>
    </w:p>
    <w:p w14:paraId="4961D397" w14:textId="77777777" w:rsidR="004021E5" w:rsidRDefault="004021E5">
      <w:pPr>
        <w:pStyle w:val="Heading2"/>
      </w:pPr>
      <w:bookmarkStart w:id="13" w:name="_ydte58qhbcw7" w:colFirst="0" w:colLast="0"/>
      <w:bookmarkEnd w:id="13"/>
    </w:p>
    <w:p w14:paraId="48FF2165" w14:textId="77777777" w:rsidR="004021E5" w:rsidRDefault="004021E5">
      <w:pPr>
        <w:pStyle w:val="Heading2"/>
        <w:keepNext w:val="0"/>
        <w:keepLines w:val="0"/>
        <w:widowControl w:val="0"/>
      </w:pPr>
      <w:bookmarkStart w:id="14" w:name="_3gfik0tw4dw4" w:colFirst="0" w:colLast="0"/>
      <w:bookmarkEnd w:id="14"/>
    </w:p>
    <w:p w14:paraId="08EECEE2" w14:textId="77777777" w:rsidR="004E2A12" w:rsidRPr="004E2A12" w:rsidRDefault="004E2A12" w:rsidP="004E2A12"/>
    <w:p w14:paraId="7EB0FBDA" w14:textId="77777777" w:rsidR="004021E5" w:rsidRPr="004E2A12" w:rsidRDefault="00000000">
      <w:pPr>
        <w:pStyle w:val="Heading2"/>
        <w:keepNext w:val="0"/>
        <w:keepLines w:val="0"/>
        <w:widowControl w:val="0"/>
        <w:rPr>
          <w:color w:val="000000" w:themeColor="text1"/>
        </w:rPr>
      </w:pPr>
      <w:bookmarkStart w:id="15" w:name="_q109xv78by7h" w:colFirst="0" w:colLast="0"/>
      <w:bookmarkEnd w:id="15"/>
      <w:r w:rsidRPr="004E2A12">
        <w:rPr>
          <w:color w:val="000000" w:themeColor="text1"/>
        </w:rPr>
        <w:lastRenderedPageBreak/>
        <w:t>Academic Integrity Policy</w:t>
      </w:r>
    </w:p>
    <w:p w14:paraId="66BAC411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Aligns with the school’s definition of academic honesty and its mission statement.</w:t>
      </w:r>
    </w:p>
    <w:p w14:paraId="2600B358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Describes the rights and responsibilities of all members of the school community.</w:t>
      </w:r>
    </w:p>
    <w:p w14:paraId="03ECF16B" w14:textId="77777777" w:rsidR="004021E5" w:rsidRPr="004E2A12" w:rsidRDefault="00000000" w:rsidP="004E2A12">
      <w:pPr>
        <w:numPr>
          <w:ilvl w:val="0"/>
          <w:numId w:val="12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Articulates responsibilities for teaching a variety of practices reflecting the five fundamentals of academic integrity: honesty, trust, fairness, respect and responsibility.</w:t>
      </w:r>
    </w:p>
    <w:p w14:paraId="33F63D0F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Contains appropriate references to the IB learner profile, particularly striving to be principled.</w:t>
      </w:r>
    </w:p>
    <w:p w14:paraId="08914238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Adopts the IB definitions of academic misconduct and its different categories.</w:t>
      </w:r>
    </w:p>
    <w:p w14:paraId="47A602AF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Gives advice on, and/or examples, of what constitutes academic misconduct, intellectual property and authentic authorship, and the actions taken if there are transgressions.</w:t>
      </w:r>
    </w:p>
    <w:p w14:paraId="46C1D116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Identifies the conventions for citing and acknowledging original authorship, with examples.</w:t>
      </w:r>
    </w:p>
    <w:p w14:paraId="147F06D8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Includes guidance on the distinction between legitimate collaboration and unacceptable collusion.</w:t>
      </w:r>
    </w:p>
    <w:p w14:paraId="68365BBE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Specifies what academic integrity looks like in the PYP or at each year/grade level.</w:t>
      </w:r>
    </w:p>
    <w:p w14:paraId="086A689C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Lists the resources put in place to support the policy (for example, software to check plagiarism, student guides, specific training, etc.).</w:t>
      </w:r>
    </w:p>
    <w:p w14:paraId="753BE151" w14:textId="77777777" w:rsidR="004021E5" w:rsidRPr="004E2A12" w:rsidRDefault="00000000" w:rsidP="004E2A12">
      <w:pPr>
        <w:numPr>
          <w:ilvl w:val="0"/>
          <w:numId w:val="12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  <w:sectPr w:rsidR="004021E5" w:rsidRPr="004E2A12">
          <w:headerReference w:type="default" r:id="rId10"/>
          <w:pgSz w:w="12240" w:h="15840"/>
          <w:pgMar w:top="1440" w:right="878" w:bottom="1152" w:left="878" w:header="676" w:footer="475" w:gutter="0"/>
          <w:cols w:space="720"/>
        </w:sectPr>
      </w:pPr>
      <w:r w:rsidRPr="004E2A12">
        <w:rPr>
          <w:rFonts w:ascii="Open Sans" w:eastAsia="Open Sans" w:hAnsi="Open Sans" w:cs="Open Sans"/>
          <w:color w:val="000000" w:themeColor="text1"/>
        </w:rPr>
        <w:t xml:space="preserve">Includes evidence of a review process, such as who took part in the creation and review of the policy, the date of the most recent review, and when it will be reviewed next. </w:t>
      </w:r>
    </w:p>
    <w:p w14:paraId="153FC68E" w14:textId="77777777" w:rsidR="004021E5" w:rsidRPr="004E2A12" w:rsidRDefault="00000000">
      <w:pPr>
        <w:spacing w:after="240" w:line="276" w:lineRule="auto"/>
        <w:rPr>
          <w:rFonts w:ascii="Open Sans" w:eastAsia="Open Sans" w:hAnsi="Open Sans" w:cs="Open Sans"/>
          <w:b/>
          <w:color w:val="000000" w:themeColor="text1"/>
        </w:rPr>
      </w:pPr>
      <w:r w:rsidRPr="004E2A12">
        <w:rPr>
          <w:rFonts w:ascii="Open Sans" w:eastAsia="Open Sans" w:hAnsi="Open Sans" w:cs="Open Sans"/>
          <w:b/>
          <w:color w:val="000000" w:themeColor="text1"/>
        </w:rPr>
        <w:lastRenderedPageBreak/>
        <w:t xml:space="preserve">Note: Please refer to the IB online </w:t>
      </w:r>
      <w:proofErr w:type="spellStart"/>
      <w:r w:rsidRPr="004E2A12">
        <w:rPr>
          <w:rFonts w:ascii="Open Sans" w:eastAsia="Open Sans" w:hAnsi="Open Sans" w:cs="Open Sans"/>
          <w:b/>
          <w:color w:val="000000" w:themeColor="text1"/>
        </w:rPr>
        <w:t>Programme</w:t>
      </w:r>
      <w:proofErr w:type="spellEnd"/>
      <w:r w:rsidRPr="004E2A12">
        <w:rPr>
          <w:rFonts w:ascii="Open Sans" w:eastAsia="Open Sans" w:hAnsi="Open Sans" w:cs="Open Sans"/>
          <w:b/>
          <w:color w:val="000000" w:themeColor="text1"/>
        </w:rPr>
        <w:t xml:space="preserve"> Resource Centre (PRC) to view guides and documents to assist in the development of these policies. Consider referring to the following documents from the PRC and IB website:</w:t>
      </w:r>
    </w:p>
    <w:p w14:paraId="4AB0FF3D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IB Coordinator Resource (Aug 2021)</w:t>
      </w:r>
    </w:p>
    <w:p w14:paraId="033CB635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Access and inclusion policy (Updated Aug 2021)</w:t>
      </w:r>
    </w:p>
    <w:p w14:paraId="4B26CA12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 xml:space="preserve">Learning diversity and inclusion in IB </w:t>
      </w:r>
      <w:proofErr w:type="spellStart"/>
      <w:r w:rsidRPr="004E2A12">
        <w:rPr>
          <w:rFonts w:ascii="Open Sans" w:eastAsia="Open Sans" w:hAnsi="Open Sans" w:cs="Open Sans"/>
          <w:color w:val="000000" w:themeColor="text1"/>
        </w:rPr>
        <w:t>programmes</w:t>
      </w:r>
      <w:proofErr w:type="spellEnd"/>
      <w:r w:rsidRPr="004E2A12">
        <w:rPr>
          <w:rFonts w:ascii="Open Sans" w:eastAsia="Open Sans" w:hAnsi="Open Sans" w:cs="Open Sans"/>
          <w:color w:val="000000" w:themeColor="text1"/>
        </w:rPr>
        <w:t xml:space="preserve"> (Updated May 2020)</w:t>
      </w:r>
    </w:p>
    <w:p w14:paraId="2A2304EF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Meeting student learning diversity in the classroom (Dec 2019)</w:t>
      </w:r>
    </w:p>
    <w:p w14:paraId="1C8120FD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The IB guide to inclusive education: a resource for whole school development (Updated Nov 2019)</w:t>
      </w:r>
    </w:p>
    <w:p w14:paraId="20DB4D6C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Academic integrity (March 2023)</w:t>
      </w:r>
    </w:p>
    <w:p w14:paraId="1835F4F7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bookmarkStart w:id="16" w:name="_gjdgxs" w:colFirst="0" w:colLast="0"/>
      <w:bookmarkEnd w:id="16"/>
      <w:r w:rsidRPr="004E2A12">
        <w:rPr>
          <w:rFonts w:ascii="Open Sans" w:eastAsia="Open Sans" w:hAnsi="Open Sans" w:cs="Open Sans"/>
          <w:color w:val="000000" w:themeColor="text1"/>
        </w:rPr>
        <w:t>Ten tips for acting with integrity (2022)</w:t>
      </w:r>
    </w:p>
    <w:p w14:paraId="69035B34" w14:textId="77777777" w:rsidR="004021E5" w:rsidRPr="00DE1B43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11">
        <w:r w:rsidRPr="00DE1B43">
          <w:rPr>
            <w:rFonts w:ascii="Open Sans" w:eastAsia="Open Sans" w:hAnsi="Open Sans" w:cs="Open Sans"/>
            <w:color w:val="478CFE"/>
            <w:u w:val="single"/>
          </w:rPr>
          <w:t>www.ibo.org/academic-integrity</w:t>
        </w:r>
      </w:hyperlink>
      <w:r w:rsidRPr="00DE1B43">
        <w:rPr>
          <w:rFonts w:ascii="Open Sans" w:eastAsia="Open Sans" w:hAnsi="Open Sans" w:cs="Open Sans"/>
          <w:color w:val="478CFE"/>
        </w:rPr>
        <w:t xml:space="preserve">  </w:t>
      </w:r>
    </w:p>
    <w:p w14:paraId="40CED1ED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Guidelines for developing a school language policy (2008)</w:t>
      </w:r>
    </w:p>
    <w:p w14:paraId="59584A7C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Guidelines for school self-reflection on its language policy (Sept 2012)</w:t>
      </w:r>
    </w:p>
    <w:p w14:paraId="2B2E6BA3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 xml:space="preserve">Learning stories – Developing policies, procedures and practices to meet student </w:t>
      </w:r>
      <w:proofErr w:type="gramStart"/>
      <w:r w:rsidRPr="004E2A12">
        <w:rPr>
          <w:rFonts w:ascii="Open Sans" w:eastAsia="Open Sans" w:hAnsi="Open Sans" w:cs="Open Sans"/>
          <w:color w:val="000000" w:themeColor="text1"/>
        </w:rPr>
        <w:t>diversity</w:t>
      </w:r>
      <w:proofErr w:type="gramEnd"/>
    </w:p>
    <w:p w14:paraId="2EE417F8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 xml:space="preserve">Learning stories – A learning story about how a school’s language policy supports multilingualism in a culturally diverse </w:t>
      </w:r>
      <w:proofErr w:type="gramStart"/>
      <w:r w:rsidRPr="004E2A12">
        <w:rPr>
          <w:rFonts w:ascii="Open Sans" w:eastAsia="Open Sans" w:hAnsi="Open Sans" w:cs="Open Sans"/>
          <w:color w:val="000000" w:themeColor="text1"/>
        </w:rPr>
        <w:t>community</w:t>
      </w:r>
      <w:proofErr w:type="gramEnd"/>
    </w:p>
    <w:p w14:paraId="7F785111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PYP: From principles into practice/Learning and teaching/Language</w:t>
      </w:r>
    </w:p>
    <w:p w14:paraId="45CB006C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>PYP: From principles into practice/Learning and teaching/Assessment</w:t>
      </w:r>
    </w:p>
    <w:p w14:paraId="17DC03D5" w14:textId="77777777" w:rsidR="004021E5" w:rsidRPr="004E2A12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E2A12">
        <w:rPr>
          <w:rFonts w:ascii="Open Sans" w:eastAsia="Open Sans" w:hAnsi="Open Sans" w:cs="Open Sans"/>
          <w:color w:val="000000" w:themeColor="text1"/>
        </w:rPr>
        <w:t xml:space="preserve">PYP: From principles into practice/ Learning community/A PYP learning community and learning </w:t>
      </w:r>
      <w:proofErr w:type="gramStart"/>
      <w:r w:rsidRPr="004E2A12">
        <w:rPr>
          <w:rFonts w:ascii="Open Sans" w:eastAsia="Open Sans" w:hAnsi="Open Sans" w:cs="Open Sans"/>
          <w:color w:val="000000" w:themeColor="text1"/>
        </w:rPr>
        <w:t>environments</w:t>
      </w:r>
      <w:proofErr w:type="gramEnd"/>
    </w:p>
    <w:p w14:paraId="6E8BB8A0" w14:textId="77777777" w:rsidR="004021E5" w:rsidRPr="00DE1B43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12" w:anchor="/page/5c5d69f7ec43cb21c92338cd">
        <w:r w:rsidRPr="00DE1B43">
          <w:rPr>
            <w:rFonts w:ascii="Open Sans" w:eastAsia="Open Sans" w:hAnsi="Open Sans" w:cs="Open Sans"/>
            <w:color w:val="478CFE"/>
            <w:u w:val="single"/>
          </w:rPr>
          <w:t>Assessment in brief PYP</w:t>
        </w:r>
      </w:hyperlink>
    </w:p>
    <w:p w14:paraId="0136BF73" w14:textId="77777777" w:rsidR="004021E5" w:rsidRPr="00DE1B43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13" w:anchor="/page/5c5d69f7ec43cb21c92338d8">
        <w:r w:rsidRPr="00DE1B43">
          <w:rPr>
            <w:rFonts w:ascii="Open Sans" w:eastAsia="Open Sans" w:hAnsi="Open Sans" w:cs="Open Sans"/>
            <w:color w:val="478CFE"/>
            <w:u w:val="single"/>
          </w:rPr>
          <w:t xml:space="preserve">Self-assessment and peer feedback PYP </w:t>
        </w:r>
      </w:hyperlink>
    </w:p>
    <w:p w14:paraId="2C5B52DB" w14:textId="77777777" w:rsidR="004021E5" w:rsidRPr="00DE1B43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14" w:anchor="/page/5c5d69f8ec43cb21c92338e6">
        <w:r w:rsidRPr="00DE1B43">
          <w:rPr>
            <w:rFonts w:ascii="Open Sans" w:eastAsia="Open Sans" w:hAnsi="Open Sans" w:cs="Open Sans"/>
            <w:color w:val="478CFE"/>
            <w:u w:val="single"/>
          </w:rPr>
          <w:t>Feedback in the early years PYP</w:t>
        </w:r>
      </w:hyperlink>
    </w:p>
    <w:p w14:paraId="46865840" w14:textId="77777777" w:rsidR="004021E5" w:rsidRPr="00DE1B43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15" w:anchor="/page/5c5d69f8ec43cb21c92338f4">
        <w:r w:rsidRPr="00DE1B43">
          <w:rPr>
            <w:rFonts w:ascii="Open Sans" w:eastAsia="Open Sans" w:hAnsi="Open Sans" w:cs="Open Sans"/>
            <w:color w:val="478CFE"/>
            <w:u w:val="single"/>
          </w:rPr>
          <w:t>Thinking about assessment in the early years</w:t>
        </w:r>
      </w:hyperlink>
    </w:p>
    <w:p w14:paraId="2AF4798A" w14:textId="77777777" w:rsidR="004021E5" w:rsidRPr="00DE1B43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16" w:anchor="/page/5c5d69f8ec43cb21c923390d">
        <w:r w:rsidRPr="00DE1B43">
          <w:rPr>
            <w:rFonts w:ascii="Open Sans" w:eastAsia="Open Sans" w:hAnsi="Open Sans" w:cs="Open Sans"/>
            <w:color w:val="478CFE"/>
            <w:u w:val="single"/>
          </w:rPr>
          <w:t>Evidencing learning in the PYP</w:t>
        </w:r>
      </w:hyperlink>
      <w:r w:rsidRPr="00DE1B43">
        <w:rPr>
          <w:rFonts w:ascii="Open Sans" w:eastAsia="Open Sans" w:hAnsi="Open Sans" w:cs="Open Sans"/>
          <w:color w:val="478CFE"/>
        </w:rPr>
        <w:t xml:space="preserve"> </w:t>
      </w:r>
    </w:p>
    <w:p w14:paraId="7FE75CAD" w14:textId="77777777" w:rsidR="004021E5" w:rsidRPr="00DE1B43" w:rsidRDefault="00000000">
      <w:pPr>
        <w:numPr>
          <w:ilvl w:val="0"/>
          <w:numId w:val="5"/>
        </w:numP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17" w:anchor="/page/5c5d69f9ec43cb21c9233920">
        <w:r w:rsidRPr="00DE1B43">
          <w:rPr>
            <w:rFonts w:ascii="Open Sans" w:eastAsia="Open Sans" w:hAnsi="Open Sans" w:cs="Open Sans"/>
            <w:color w:val="478CFE"/>
            <w:u w:val="single"/>
          </w:rPr>
          <w:t xml:space="preserve">Reflecting about assessment practices in your school </w:t>
        </w:r>
      </w:hyperlink>
    </w:p>
    <w:p w14:paraId="69DB45DE" w14:textId="77777777" w:rsidR="004021E5" w:rsidRPr="00DE1B43" w:rsidRDefault="00000000">
      <w:pPr>
        <w:numPr>
          <w:ilvl w:val="0"/>
          <w:numId w:val="5"/>
        </w:numPr>
        <w:spacing w:after="40" w:line="276" w:lineRule="auto"/>
        <w:rPr>
          <w:rFonts w:ascii="Open Sans" w:eastAsia="Open Sans" w:hAnsi="Open Sans" w:cs="Open Sans"/>
          <w:color w:val="478CFE"/>
        </w:rPr>
      </w:pPr>
      <w:hyperlink r:id="rId18" w:anchor="/page/5c5d69f9ec43cb21c923392d">
        <w:r w:rsidRPr="00DE1B43">
          <w:rPr>
            <w:rFonts w:ascii="Open Sans" w:eastAsia="Open Sans" w:hAnsi="Open Sans" w:cs="Open Sans"/>
            <w:color w:val="478CFE"/>
            <w:u w:val="single"/>
          </w:rPr>
          <w:t>Characteristics of integrated assessment</w:t>
        </w:r>
      </w:hyperlink>
    </w:p>
    <w:p w14:paraId="1C143A94" w14:textId="77777777" w:rsidR="004021E5" w:rsidRDefault="004021E5">
      <w:pPr>
        <w:spacing w:after="40" w:line="276" w:lineRule="auto"/>
        <w:rPr>
          <w:rFonts w:ascii="Open Sans" w:eastAsia="Open Sans" w:hAnsi="Open Sans" w:cs="Open Sans"/>
          <w:b/>
        </w:rPr>
      </w:pPr>
    </w:p>
    <w:p w14:paraId="4F180CF1" w14:textId="77777777" w:rsidR="004021E5" w:rsidRPr="00DE1B43" w:rsidRDefault="004021E5">
      <w:pPr>
        <w:spacing w:after="40" w:line="276" w:lineRule="auto"/>
        <w:rPr>
          <w:rFonts w:ascii="Open Sans" w:eastAsia="Open Sans" w:hAnsi="Open Sans" w:cs="Open Sans"/>
          <w:b/>
          <w:color w:val="478CFE"/>
        </w:rPr>
      </w:pPr>
    </w:p>
    <w:p w14:paraId="68B556D6" w14:textId="77777777" w:rsidR="004021E5" w:rsidRPr="00DE1B43" w:rsidRDefault="00000000">
      <w:pPr>
        <w:spacing w:after="0" w:line="240" w:lineRule="auto"/>
        <w:jc w:val="center"/>
        <w:rPr>
          <w:rFonts w:ascii="Open Sans" w:eastAsia="Open Sans" w:hAnsi="Open Sans" w:cs="Open Sans"/>
          <w:b/>
          <w:color w:val="478CFE"/>
        </w:rPr>
      </w:pPr>
      <w:r w:rsidRPr="00DE1B43">
        <w:rPr>
          <w:rFonts w:ascii="Open Sans" w:eastAsia="Open Sans" w:hAnsi="Open Sans" w:cs="Open Sans"/>
          <w:b/>
          <w:color w:val="478CFE"/>
        </w:rPr>
        <w:t>Compiled by – Ali Hassan, Education Consultant</w:t>
      </w:r>
    </w:p>
    <w:p w14:paraId="0FD12F0E" w14:textId="77777777" w:rsidR="004021E5" w:rsidRPr="00DE1B43" w:rsidRDefault="00000000">
      <w:pPr>
        <w:spacing w:after="0" w:line="240" w:lineRule="auto"/>
        <w:jc w:val="center"/>
        <w:rPr>
          <w:rFonts w:ascii="Open Sans" w:eastAsia="Open Sans" w:hAnsi="Open Sans" w:cs="Open Sans"/>
          <w:b/>
          <w:color w:val="478CFE"/>
        </w:rPr>
      </w:pPr>
      <w:r w:rsidRPr="00DE1B43">
        <w:rPr>
          <w:rFonts w:ascii="Open Sans" w:eastAsia="Open Sans" w:hAnsi="Open Sans" w:cs="Open Sans"/>
          <w:b/>
          <w:color w:val="478CFE"/>
        </w:rPr>
        <w:t>Updated March 2023 (First Published October 2021)</w:t>
      </w:r>
    </w:p>
    <w:bookmarkStart w:id="17" w:name="_30j0zll" w:colFirst="0" w:colLast="0"/>
    <w:bookmarkEnd w:id="17"/>
    <w:p w14:paraId="6706E15C" w14:textId="77777777" w:rsidR="004021E5" w:rsidRPr="00DE1B43" w:rsidRDefault="00000000">
      <w:pPr>
        <w:spacing w:after="0" w:line="240" w:lineRule="auto"/>
        <w:jc w:val="center"/>
        <w:rPr>
          <w:rFonts w:ascii="Open Sans" w:eastAsia="Open Sans" w:hAnsi="Open Sans" w:cs="Open Sans"/>
          <w:b/>
          <w:color w:val="1155CC"/>
        </w:rPr>
      </w:pPr>
      <w:r w:rsidRPr="00DE1B43">
        <w:rPr>
          <w:color w:val="1155CC"/>
        </w:rPr>
        <w:fldChar w:fldCharType="begin"/>
      </w:r>
      <w:r w:rsidRPr="00DE1B43">
        <w:rPr>
          <w:color w:val="1155CC"/>
        </w:rPr>
        <w:instrText>HYPERLINK "mailto:Ali@skyeducate.com" \h</w:instrText>
      </w:r>
      <w:r w:rsidRPr="00DE1B43">
        <w:rPr>
          <w:color w:val="1155CC"/>
        </w:rPr>
      </w:r>
      <w:r w:rsidRPr="00DE1B43">
        <w:rPr>
          <w:color w:val="1155CC"/>
        </w:rPr>
        <w:fldChar w:fldCharType="separate"/>
      </w:r>
      <w:r w:rsidRPr="00DE1B43">
        <w:rPr>
          <w:rFonts w:ascii="Open Sans" w:eastAsia="Open Sans" w:hAnsi="Open Sans" w:cs="Open Sans"/>
          <w:b/>
          <w:color w:val="1155CC"/>
          <w:u w:val="single"/>
        </w:rPr>
        <w:t>ali@skyeducate.com</w:t>
      </w:r>
      <w:r w:rsidRPr="00DE1B43">
        <w:rPr>
          <w:rFonts w:ascii="Open Sans" w:eastAsia="Open Sans" w:hAnsi="Open Sans" w:cs="Open Sans"/>
          <w:b/>
          <w:color w:val="1155CC"/>
          <w:u w:val="single"/>
        </w:rPr>
        <w:fldChar w:fldCharType="end"/>
      </w:r>
    </w:p>
    <w:sectPr w:rsidR="004021E5" w:rsidRPr="00DE1B43">
      <w:pgSz w:w="12240" w:h="15840"/>
      <w:pgMar w:top="2059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E333" w14:textId="77777777" w:rsidR="00F156F5" w:rsidRDefault="00F156F5">
      <w:pPr>
        <w:spacing w:after="0" w:line="240" w:lineRule="auto"/>
      </w:pPr>
      <w:r>
        <w:separator/>
      </w:r>
    </w:p>
  </w:endnote>
  <w:endnote w:type="continuationSeparator" w:id="0">
    <w:p w14:paraId="6307C799" w14:textId="77777777" w:rsidR="00F156F5" w:rsidRDefault="00F1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1498" w14:textId="77777777" w:rsidR="00F156F5" w:rsidRDefault="00F156F5">
      <w:pPr>
        <w:spacing w:after="0" w:line="240" w:lineRule="auto"/>
      </w:pPr>
      <w:r>
        <w:separator/>
      </w:r>
    </w:p>
  </w:footnote>
  <w:footnote w:type="continuationSeparator" w:id="0">
    <w:p w14:paraId="25BA73E6" w14:textId="77777777" w:rsidR="00F156F5" w:rsidRDefault="00F1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A7F1" w14:textId="77777777" w:rsidR="004021E5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42C3F57A" wp14:editId="72AD34B1">
          <wp:simplePos x="0" y="0"/>
          <wp:positionH relativeFrom="column">
            <wp:posOffset>4000500</wp:posOffset>
          </wp:positionH>
          <wp:positionV relativeFrom="paragraph">
            <wp:posOffset>-169925</wp:posOffset>
          </wp:positionV>
          <wp:extent cx="4564380" cy="311150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15276" b="-9505"/>
                  <a:stretch>
                    <a:fillRect/>
                  </a:stretch>
                </pic:blipFill>
                <pic:spPr>
                  <a:xfrm>
                    <a:off x="0" y="0"/>
                    <a:ext cx="4564380" cy="311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1A09" w14:textId="0D1DC029" w:rsidR="004021E5" w:rsidRDefault="00DE1B43">
    <w:pPr>
      <w:spacing w:after="240" w:line="276" w:lineRule="auto"/>
      <w:ind w:right="1281"/>
      <w:rPr>
        <w:rFonts w:ascii="Open Sans" w:eastAsia="Open Sans" w:hAnsi="Open Sans" w:cs="Open Sans"/>
        <w:b/>
        <w:sz w:val="26"/>
        <w:szCs w:val="26"/>
      </w:rPr>
    </w:pPr>
    <w:r>
      <w:rPr>
        <w:rFonts w:ascii="Open Sans" w:eastAsia="Open Sans" w:hAnsi="Open Sans" w:cs="Open Sans"/>
        <w:noProof/>
      </w:rPr>
      <w:drawing>
        <wp:anchor distT="0" distB="0" distL="114300" distR="114300" simplePos="0" relativeHeight="251660288" behindDoc="1" locked="0" layoutInCell="1" hidden="0" allowOverlap="1" wp14:anchorId="4961AB8D" wp14:editId="25E03F16">
          <wp:simplePos x="0" y="0"/>
          <wp:positionH relativeFrom="page">
            <wp:posOffset>6446520</wp:posOffset>
          </wp:positionH>
          <wp:positionV relativeFrom="page">
            <wp:posOffset>219710</wp:posOffset>
          </wp:positionV>
          <wp:extent cx="768096" cy="758952"/>
          <wp:effectExtent l="0" t="0" r="0" b="3175"/>
          <wp:wrapNone/>
          <wp:docPr id="1542777789" name="Picture 1542777789" descr="Sky Educ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ky Educa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096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Open Sans" w:eastAsia="Open Sans" w:hAnsi="Open Sans" w:cs="Open Sans"/>
        <w:noProof/>
      </w:rPr>
      <w:drawing>
        <wp:inline distT="0" distB="0" distL="0" distR="0" wp14:anchorId="419342EC" wp14:editId="70D3EC51">
          <wp:extent cx="1694859" cy="3600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59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6C8D95" w14:textId="77777777" w:rsidR="004021E5" w:rsidRDefault="004021E5">
    <w:pPr>
      <w:spacing w:after="240" w:line="276" w:lineRule="auto"/>
      <w:ind w:right="1281"/>
      <w:rPr>
        <w:rFonts w:ascii="Open Sans" w:eastAsia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1D9"/>
    <w:multiLevelType w:val="multilevel"/>
    <w:tmpl w:val="6630D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15B83"/>
    <w:multiLevelType w:val="multilevel"/>
    <w:tmpl w:val="E236C4C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31F9F"/>
    <w:multiLevelType w:val="multilevel"/>
    <w:tmpl w:val="A0A08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861669"/>
    <w:multiLevelType w:val="multilevel"/>
    <w:tmpl w:val="FB6059BA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53260DC"/>
    <w:multiLevelType w:val="multilevel"/>
    <w:tmpl w:val="E8661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  <w:color w:val="auto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D552BF"/>
    <w:multiLevelType w:val="multilevel"/>
    <w:tmpl w:val="75BAD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6432F7"/>
    <w:multiLevelType w:val="multilevel"/>
    <w:tmpl w:val="2F821686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180D6779"/>
    <w:multiLevelType w:val="multilevel"/>
    <w:tmpl w:val="D5829972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  <w:color w:val="auto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2E95E51"/>
    <w:multiLevelType w:val="multilevel"/>
    <w:tmpl w:val="03EE3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D475FA"/>
    <w:multiLevelType w:val="multilevel"/>
    <w:tmpl w:val="9CC6F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4B3C5C"/>
    <w:multiLevelType w:val="multilevel"/>
    <w:tmpl w:val="47A86F8E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F045715"/>
    <w:multiLevelType w:val="multilevel"/>
    <w:tmpl w:val="C638E778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num w:numId="1" w16cid:durableId="814419804">
    <w:abstractNumId w:val="8"/>
  </w:num>
  <w:num w:numId="2" w16cid:durableId="1868829297">
    <w:abstractNumId w:val="5"/>
  </w:num>
  <w:num w:numId="3" w16cid:durableId="1791389313">
    <w:abstractNumId w:val="0"/>
  </w:num>
  <w:num w:numId="4" w16cid:durableId="804615754">
    <w:abstractNumId w:val="9"/>
  </w:num>
  <w:num w:numId="5" w16cid:durableId="1725985042">
    <w:abstractNumId w:val="1"/>
  </w:num>
  <w:num w:numId="6" w16cid:durableId="849374051">
    <w:abstractNumId w:val="2"/>
  </w:num>
  <w:num w:numId="7" w16cid:durableId="1823352337">
    <w:abstractNumId w:val="6"/>
  </w:num>
  <w:num w:numId="8" w16cid:durableId="1146044907">
    <w:abstractNumId w:val="10"/>
  </w:num>
  <w:num w:numId="9" w16cid:durableId="1638409141">
    <w:abstractNumId w:val="3"/>
  </w:num>
  <w:num w:numId="10" w16cid:durableId="1664205">
    <w:abstractNumId w:val="11"/>
  </w:num>
  <w:num w:numId="11" w16cid:durableId="831718292">
    <w:abstractNumId w:val="4"/>
  </w:num>
  <w:num w:numId="12" w16cid:durableId="1585647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5"/>
    <w:rsid w:val="004021E5"/>
    <w:rsid w:val="00470B24"/>
    <w:rsid w:val="004E2A12"/>
    <w:rsid w:val="00DE1B43"/>
    <w:rsid w:val="00F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C5F0B"/>
  <w15:docId w15:val="{0AEAE475-F343-904F-96FC-D46510D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76" w:lineRule="auto"/>
      <w:jc w:val="center"/>
      <w:outlineLvl w:val="0"/>
    </w:pPr>
    <w:rPr>
      <w:rFonts w:ascii="Open Sans" w:eastAsia="Open Sans" w:hAnsi="Open Sans" w:cs="Open Sans"/>
      <w:b/>
      <w:color w:val="333333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after="240" w:line="276" w:lineRule="auto"/>
      <w:outlineLvl w:val="1"/>
    </w:pPr>
    <w:rPr>
      <w:rFonts w:ascii="Open Sans" w:eastAsia="Open Sans" w:hAnsi="Open Sans" w:cs="Open Sans"/>
      <w:b/>
      <w:color w:val="33333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E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B43"/>
  </w:style>
  <w:style w:type="paragraph" w:styleId="Footer">
    <w:name w:val="footer"/>
    <w:basedOn w:val="Normal"/>
    <w:link w:val="FooterChar"/>
    <w:uiPriority w:val="99"/>
    <w:unhideWhenUsed/>
    <w:rsid w:val="00DE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3-eu-west-1.amazonaws.com/international-baccalaureate/PYP+Playlist/index.html" TargetMode="External"/><Relationship Id="rId18" Type="http://schemas.openxmlformats.org/officeDocument/2006/relationships/hyperlink" Target="https://s3-eu-west-1.amazonaws.com/international-baccalaureate/PYP+Playlist/index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3-eu-west-1.amazonaws.com/international-baccalaureate/PYP+Playlist/index.html" TargetMode="External"/><Relationship Id="rId17" Type="http://schemas.openxmlformats.org/officeDocument/2006/relationships/hyperlink" Target="https://s3-eu-west-1.amazonaws.com/international-baccalaureate/PYP+Playlist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3-eu-west-1.amazonaws.com/international-baccalaureate/PYP+Playlist/index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o.org/academic-integr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3-eu-west-1.amazonaws.com/international-baccalaureate/PYP+Playlist/index.html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3-eu-west-1.amazonaws.com/international-baccalaureate/PYP+Playlist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Gunawan Pradana</cp:lastModifiedBy>
  <cp:revision>3</cp:revision>
  <dcterms:created xsi:type="dcterms:W3CDTF">2023-11-01T14:37:00Z</dcterms:created>
  <dcterms:modified xsi:type="dcterms:W3CDTF">2023-11-02T02:26:00Z</dcterms:modified>
</cp:coreProperties>
</file>